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ind w:firstLine="0"/>
        <w:jc w:val="center"/>
      </w:pPr>
      <w:r>
        <w:t>Зачем человеку литература? Жизненный перенос литературных компетенций как результат школьного литературного образования</w:t>
      </w:r>
    </w:p>
    <w:p>
      <w:pPr>
        <w:spacing w:after="20"/>
        <w:ind w:firstLine="0"/>
        <w:jc w:val="center"/>
      </w:pPr>
      <w:r>
        <w:t>Татьяна Бездомникова</w:t>
      </w:r>
    </w:p>
    <w:p>
      <w:pPr>
        <w:spacing w:after="200"/>
        <w:ind w:firstLine="0"/>
        <w:jc w:val="center"/>
      </w:pPr>
      <w:r>
        <w:t>студентка третьего курса Университета «Синергия»</w:t>
      </w:r>
    </w:p>
    <w:p>
      <w:pPr>
        <w:spacing w:after="60"/>
        <w:ind w:firstLine="0"/>
      </w:pPr>
      <w:r>
        <w:rPr>
          <w:b w:val="0"/>
        </w:rPr>
      </w:r>
      <w:r>
        <w:rPr>
          <w:b/>
        </w:rPr>
        <w:t xml:space="preserve">Аннотация. </w:t>
      </w:r>
      <w:r>
        <w:t>В статье рассматривается практическая ценность школьного литературного образования за пределами предметных знаний. На основе исследований чтения, речи и социального познания вводится рабочее понятие «жизненный перенос литературных компетенций» — применение способов анализа, интерпретации и аргументации в ситуациях вне урока литературы. Предложена авторская таблица, связывающая действие ученика на уроке, формируемое умение и возможную жизненную задачу. Показано, что подобный перенос не возникает автоматически и требует продуманной организации обсуждения художественного произведения.</w:t>
      </w:r>
    </w:p>
    <w:p>
      <w:pPr>
        <w:spacing w:after="200"/>
        <w:ind w:firstLine="0"/>
      </w:pPr>
      <w:r>
        <w:t>Ключевые слова: литературное образование, чтение, интерпретация, аргументация, критическое мышление, жизненный перенос.</w:t>
      </w:r>
    </w:p>
    <w:p>
      <w:pPr>
        <w:pStyle w:val="Heading1"/>
      </w:pPr>
      <w:r>
        <w:t>Введение</w:t>
      </w:r>
    </w:p>
    <w:p>
      <w:r>
        <w:t>Вопрос «зачем человеку литература?» нередко возникает у школьника, который не собирается становиться филологом. В ответ обычно говорят о расширении словарного запаса, грамотности и знакомстве с культурным наследием. Эти объяснения справедливы, но за ними почти не видна повседневная работа мысли на уроке: ученик замечает противоречие между словами и поступками героя, ищет подтверждение собственной версии в тексте, сравнивает противоположные интерпретации, вступает в дискуссию. Однако сам обучающийся далеко не всегда осознаёт связь этих действий с ситуациями за пределами кабинета литературы.</w:t>
      </w:r>
    </w:p>
    <w:p>
      <w:r>
        <w:t>Федеральная рабочая программа по литературе для 10–11 классов связывает изучение предмета с развитием речи, историзма мышления, самостоятельной интерпретации, пониманием культурного контекста и сопоставлением произведения с современностью [1]. Цель настоящей статьи — показать, какие способы деятельности, сформированные при работе с художественным текстом, могут быть востребованы в жизни и какие условия помогают ученику увидеть эту связь. В основе работы лежат анализ программы, обзор опубликованных исследований и авторское методическое обобщение; собственное эмпирическое исследование в статье не заявляется.</w:t>
      </w:r>
    </w:p>
    <w:p>
      <w:r>
        <w:t>В настоящей статье предлагается использовать рабочее понятие «жизненный перенос литературных компетенций». Под ним мы понимаем использование интеллектуальных, речевых, интерпретационных и социально-рефлексивных способов деятельности, сформированных при работе с художественным текстом, в ситуациях, непосредственно не связанных с изучением литературы.</w:t>
      </w:r>
    </w:p>
    <w:p>
      <w:r>
        <w:t>Например, способность определить, почему литературный герой произносит одно, думает другое, а поступает третьим образом, необходима для анализа художественного характера. Однако сам механизм сопоставления слов, мотивов, обстоятельств и поведения используется человеком и при понимании реальной коммуникации. Умение доказать интерпретацию цитатами первоначально воспринимается школьником как учебное требование. В более широком плане оно формирует привычку отделять утверждение от его доказательства.</w:t>
      </w:r>
    </w:p>
    <w:p>
      <w:pPr>
        <w:pStyle w:val="Heading1"/>
      </w:pPr>
      <w:r>
        <w:t>Литература и речевая компетентность</w:t>
      </w:r>
    </w:p>
    <w:p>
      <w:r>
        <w:t>Одним из наиболее очевидных результатов регулярного чтения является развитие речевых возможностей человека. Однако этот результат гораздо шире простого увеличения количества известных слов. Классические исследования K. E. Stanovich и A. E. Cunningham показали связь контакта с печатными текстами со словарным запасом, культурными знаниями, грамотностью и вербальной беглостью даже при статистическом учёте некоторых различий в общих способностях и понимании прочитанного [2].</w:t>
      </w:r>
    </w:p>
    <w:p>
      <w:r>
        <w:t>Метаанализ S. E. Mol и A. G. Bus, объединивший 99 исследований и данные 7669 участников от дошкольного возраста до студентов, также выявил устойчивые связи читательского опыта с развитием устной речи, пониманием текста, техникой чтения, орфографией и учебными достижениями. Авторы описывают «восходящую спираль»: более развитые читатели чаще читают, а больший объём чтения связан с дальнейшим развитием читательских и языковых возможностей [3]. Современный метаанализ L. Wimmer и соавторов обнаружил, что среди показателей, связанных с накопленным опытом чтения художественной литературы, особенно заметное место занимают вербальные способности [4].</w:t>
      </w:r>
    </w:p>
    <w:p>
      <w:r>
        <w:t>Для школьного образования этот результат важен не только в традиционном смысле «богатой речи». Человек постоянно объясняет свою позицию коллегам и клиентам, составляет письма, ведёт переговоры, выступает публично, формулирует просьбы и разрешает конфликты. Следовательно, литературное образование приобретает практическую значимость и для человека, чья профессия не имеет отношения к филологии.</w:t>
      </w:r>
    </w:p>
    <w:p>
      <w:r>
        <w:t>Чтение предоставляет ему не только дополнительные слова. Оно расширяет репертуар способов выражения мысли. Читатель наблюдает разные речевые регистры, интонации, стратегии убеждения, способы построения диалога, выражения и сокрытия эмоций. Поэтому образ культурного и образованного человека создаётся не количеством запомненных фамилий писателей, а в том числе способностью точно понимать чужую речь и точно создавать собственную.</w:t>
      </w:r>
    </w:p>
    <w:p>
      <w:pPr>
        <w:pStyle w:val="Heading1"/>
      </w:pPr>
      <w:r>
        <w:t>Художественная литература как модель социального мира</w:t>
      </w:r>
    </w:p>
    <w:p>
      <w:r>
        <w:t>Одной из наиболее интересных современных областей исследования чтения является его связь с социальным познанием — способностью понимать чувства, намерения, убеждения и точки зрения других людей. R. A. Mar и K. Oatley предложили рассматривать художественную прозу как своеобразную симуляцию социального опыта. Читая повествование, человек наблюдает модель отношений и конфликтов, получает доступ к мотивам персонажей и мысленно взаимодействует с социальной ситуацией, в которой физически не находится [5].</w:t>
      </w:r>
    </w:p>
    <w:p>
      <w:r>
        <w:t>Особенность литературы заключается в том, что внутренний мир другого человека становится для читателя значительно доступнее, чем в повседневности. В реальном общении человек не имеет прямого доступа к чужим мыслям. В романе он может одновременно узнать, что герой произнёс, что подумал, чего испугался, что вспомнил и почему совершил конкретный поступок. Именно поэтому художественный текст представляет собой насыщенный материал для анализа человеческого поведения.</w:t>
      </w:r>
    </w:p>
    <w:p>
      <w:r>
        <w:t>Метаанализ D. Dodell-Feder и D. I. Tamir показал небольшой статистически значимый положительный эффект чтения художественной литературы на показатели социального познания. Однако величина эффекта невелика, что не позволяет говорить об автоматическом преобразовании личности в результате чтения [6]. Более масштабный метаанализ 2024 года также обнаружил небольшие положительные эффекты; в экспериментальных исследованиях статистически значимые результаты были сосредоточены прежде всего в области эмпатии и понимания психических состояний других людей [4].</w:t>
      </w:r>
    </w:p>
    <w:p>
      <w:r>
        <w:t>При этом научная дискуссия далека от завершения. Попытки воспроизвести известный эксперимент о немедленном влиянии литературной прозы на понимание психических состояний давали противоречивые результаты. В частности, крупная репликация с участием 792 человек не обнаружила заявленного кратковременного эффекта, хотя накопленный опыт чтения художественной литературы был связан с показателями понимания психических состояний [7]. Для педагогики это ограничение важно: ценность литературы разумнее связывать не с предположением «один рассказ делает человека эмпатичным», а с длительным опытом регулярного обращения к чужой перспективе.</w:t>
      </w:r>
    </w:p>
    <w:p>
      <w:pPr>
        <w:pStyle w:val="Heading1"/>
      </w:pPr>
      <w:r>
        <w:t>Возможность получить опыт не проживая его буквально</w:t>
      </w:r>
    </w:p>
    <w:p>
      <w:r>
        <w:t>Человеческая жизнь ограничена продолжительностью, исторической эпохой, социальным окружением и личными обстоятельствами. Даже взрослый человек непосредственно сталкивается лишь с небольшой частью потенциально возможных человеческих ситуаций. Художественная литература расширяет этот диапазон.</w:t>
      </w:r>
    </w:p>
    <w:p>
      <w:r>
        <w:t>Читатель может наблюдать состояние человека перед нравственным выбором, переживание потери, социальное неравенство, конфликт поколений, зависимость от общественного мнения, механизм самообмана, последствия предательства или отказа от ответственности задолго до того, как ему самому придётся столкнуться с похожей ситуацией. В этом смысле художественный текст можно рассматривать как пространство опосредованного опыта.</w:t>
      </w:r>
    </w:p>
    <w:p>
      <w:r>
        <w:t>Например, анализируя «Преступление и наказание», ученик может рассматривать не только последовательность событий романа, но и механизм, посредством которого человек создаёт интеллектуальное оправдание собственного решения. При изучении «Отцов и детей» предметом обсуждения становится не только историческое содержание спора поколений, но и более универсальная проблема: почему мировоззренческие разногласия столь легко превращаются в личный конфликт. «Герой нашего времени» предоставляет материал для размышления о соотношении развитой рефлексии и ответственности человека за последствия собственного поведения.</w:t>
      </w:r>
    </w:p>
    <w:p>
      <w:r>
        <w:t>Подобная работа не означает перенесения поступков литературных героев непосредственно в реальную жизнь. Литература не выдаёт готовых инструкций. Её сила заключается в возможности рассмотреть несколько вариантов интерпретации одной человеческой ситуации, обсуждая мотивы и последствия, не испытывая самих последствий.</w:t>
      </w:r>
    </w:p>
    <w:p>
      <w:pPr>
        <w:pStyle w:val="Heading1"/>
      </w:pPr>
      <w:r>
        <w:t>Не готовая мораль, а способность рассуждать</w:t>
      </w:r>
    </w:p>
    <w:p>
      <w:r>
        <w:t>В школьной практике существует риск свести воспитательную функцию произведения к поиску готового вывода: «чему нас учит этот текст?». Современные исследования позволяют взглянуть на проблему сложнее. L. Gasser, Y. Dammert и P. K. Murphy выделяют несколько механизмов социального обучения через художественное повествование. Один связан с усвоением содержащегося в тексте нравственного послания, другой — с мысленным вхождением в перспективу героя, третий — с развитием социального рассуждения в процессе аргументированного обсуждения сложных проблем произведения [8].</w:t>
      </w:r>
    </w:p>
    <w:p>
      <w:r>
        <w:t>Последний механизм имеет особую педагогическую значимость. Если школьник получает от учителя единственный правильный ответ на вопрос «кто виноват?», интеллектуальная деятельность существенно сокращается. Если же ему необходимо сопоставить несколько позиций, найти текстовые доказательства, услышать контраргумент и при необходимости скорректировать первоначальное мнение, урок литературы превращается в практику аргументированного мышления.</w:t>
      </w:r>
    </w:p>
    <w:p>
      <w:r>
        <w:t>Литература в этом случае становится школьной дисциплиной, в которой неоднозначность не обязательно является ошибкой. Художественное произведение может допускать несколько аргументированных прочтений. Ученик постепенно учится различать две принципиально разные ситуации: «моё мнение имеет право на существование» и «любое мнение одинаково обоснованно». Первая соответствует природе интерпретации. Вторая — нет. Чтобы интерпретация стала убедительной, необходимо доказательство. Так работа с литературой формирует привычку иметь позицию и быть готовым её обосновывать.</w:t>
      </w:r>
    </w:p>
    <w:p>
      <w:pPr>
        <w:pStyle w:val="Heading1"/>
      </w:pPr>
      <w:r>
        <w:t>Художественный текст и критическое мышление</w:t>
      </w:r>
    </w:p>
    <w:p>
      <w:r>
        <w:t>Практическое значение навыков интерпретации особенно возрастает в современном информационном пространстве. Человек ежедневно взаимодействует с новостями, рекламой, постами в социальных сетях, комментариями и публичными заявлениями, авторы которых используют различные способы речевого воздействия. К. И. Декатова и Е. В. Каунова связывают развитие читательской грамотности с информационной безопасностью школьника. Авторы обращают внимание на умения верифицировать информацию, анализировать языковые маркеры манипулятивного воздействия и обнаруживать ошибки логического мышления [9].</w:t>
      </w:r>
    </w:p>
    <w:p>
      <w:r>
        <w:t>Разумеется, литературный анализ сам по себе не является полноценным курсом медиаграмотности. Однако некоторые операции имеют общую интеллектуальную основу. На уроке литературы обучающийся задаёт вопросы: кто говорит и почему именно так? Какую информацию рассказчик сообщает, а какую скрывает? Совпадает ли позиция героя с авторской? Можно ли считать рассказчика полностью надёжным? Как выбор слова влияет на восприятие события? Что является фактом внутри повествования, а что — оценкой персонажа?</w:t>
      </w:r>
    </w:p>
    <w:p>
      <w:r>
        <w:t>При целенаправленном педагогическом переносе аналогичный тип вопросов может использоваться и при чтении нехудожественных текстов. Следовательно, анализ литературы способен формировать привычку не принимать текстовое сообщение как нейтральную и самоочевидную данность.</w:t>
      </w:r>
    </w:p>
    <w:p>
      <w:pPr>
        <w:pStyle w:val="Heading1"/>
      </w:pPr>
      <w:r>
        <w:t>Литература как средство исторического и культурного понимания</w:t>
      </w:r>
    </w:p>
    <w:p>
      <w:r>
        <w:t>Историческая функция литературы также сложнее простого знакомства с прошлым. Учебник истории помогает установить последовательность событий, причины процессов, даты и изменение общественных институтов. Художественная литература предоставляет другой тип знания — образ человеческого существования внутри исторической реальности.</w:t>
      </w:r>
    </w:p>
    <w:p>
      <w:r>
        <w:t>Она позволяет увидеть эпоху через повседневность, семейные отношения, устройство дома, представления о достоинстве и стыде, социальную дистанцию, формы обращения людей друг к другу, отношение к труду, любви, браку, деньгам, власти, религии и образованию. Федеральная рабочая программа непосредственно связывает изучение литературы с развитием историзма мышления, освоением культурного контекста, пониманием исторической преемственности и сопоставлением произведения с современностью [1]. В этом отношении художественное произведение выступает посредником между историей общества и жизнью отдельного человека.</w:t>
      </w:r>
    </w:p>
    <w:p>
      <w:r>
        <w:t>Одновременно формируется культурная компетентность. Значительная часть языка культуры существует в форме литературных образов, сюжетов и понятий. Выражения «обломовщина», «маленький человек», «лишний человек», узнавание литературных цитат и аллюзий требуют определённого общего культурного поля. Литературное образование позволяет полнее понимать и другие произведения искусства, публичную речь и культурную коммуникацию в целом.</w:t>
      </w:r>
    </w:p>
    <w:p>
      <w:pPr>
        <w:pStyle w:val="Heading1"/>
      </w:pPr>
      <w:r>
        <w:t>Литература как язык для понимания самого себя</w:t>
      </w:r>
    </w:p>
    <w:p>
      <w:r>
        <w:t>Не менее значима способность литературы предоставлять человеку язык описания внутреннего опыта. Человек не всегда способен точно определить, что с ним происходит. Переживание может существовать до того, как для него найдено подходящее словесное обозначение. Художественный текст позволяет узнавать собственные состояния через опыт персонажей и авторское описание.</w:t>
      </w:r>
    </w:p>
    <w:p>
      <w:r>
        <w:t>При этом читатель не должен отождествлять себя с каждым героем. Более существенен сам процесс сопоставления: почему этот поступок мне понятен? Почему он вызывает у меня сопротивление? Согласен ли я с героем? Почему другой читатель оценивает его иначе? Изменилась ли моя первоначальная оценка после завершения произведения? Такие вопросы переводят чтение из процесса получения информации в область рефлексии.</w:t>
      </w:r>
    </w:p>
    <w:p>
      <w:r>
        <w:t>Литературный герой может стать внешним объектом, через который безопаснее обсуждать сложный вопрос, чем непосредственно спрашивать подростка о его собственной жизни. Вместо вопроса «как бы ты поступил в такой личной ситуации?» сначала появляется дистанция: «почему герой поступил именно так?». В ходе рассуждения ученик соотносит анализируемую ситуацию со своими ценностями, не будучи обязанным рассказывать о личном опыте.</w:t>
      </w:r>
    </w:p>
    <w:p>
      <w:pPr>
        <w:pStyle w:val="Heading1"/>
      </w:pPr>
      <w:r>
        <w:t>Почему чтения недостаточно и нужна работа на уроке</w:t>
      </w:r>
    </w:p>
    <w:p>
      <w:r>
        <w:t>Из результатов современных исследований следует важный методический вывод: образовательный эффект невозможно свести к самому факту соприкосновения с художественным текстом. Систематический обзор J. F. Rezende и N. Shigaeff, включивший 16 эмпирических работ, показал, что связь художественных повествований с развитием социального познания зависит от индивидуальных характеристик и особенностей работы с материалом. Особенно значимым может быть сочетание знакомства с повествованием с последующей деятельностью, в частности обсуждением [10].</w:t>
      </w:r>
    </w:p>
    <w:p>
      <w:r>
        <w:t>Поэтому задача преподавателя заключается не просто в контроле того, прочитал ли ученик произведение. Педагогически значимой становится последовательность: чтение, интерпретация, сопоставление позиций, аргументация, рефлексия и соотнесение с более широким жизненным контекстом. После традиционного анализа учитель может задать вопросы второго уровня: какой способ человеческого поведения мы сейчас анализировали? Где подобный механизм встречается вне литературы? Как герой оправдывал собственное решение? Какие факты подтверждают нашу интерпретацию, а какие ей противоречат?</w:t>
      </w:r>
    </w:p>
    <w:p>
      <w:r>
        <w:t>Такие вопросы не должны превращать художественное произведение исключительно в бытовой тренинг. Эстетическая природа литературы сохраняет самостоятельную ценность. Однако ученик получает возможность увидеть, что литературный анализ имеет интеллектуальное продолжение за пределами самого текста. Российские исследования методики литературного образования также связывают дискуссию вокруг произведения с развитием коммуникативной компетентности: школьнику требуется слушать другого, понимать его позицию, реагировать на аргументацию и конструктивно участвовать в диалоге [11].</w:t>
      </w:r>
    </w:p>
    <w:p>
      <w:pPr>
        <w:pStyle w:val="Heading1"/>
      </w:pPr>
      <w:r>
        <w:t>Авторская классификация скрытых результатов урока литературы</w:t>
      </w:r>
    </w:p>
    <w:p>
      <w:r>
        <w:t>Чтобы сделать возможный перенос видимым для ученика и учителя, предлагается соотносить привычное учебное действие с формируемой компетенцией и новой ситуацией её применения. В таблице представлен не доказанный эффект каждого задания, а модель для планирования и последующей проверки образовательного результата.</w:t>
      </w:r>
    </w:p>
    <w:p>
      <w:pPr>
        <w:keepNext/>
        <w:spacing w:after="80"/>
        <w:ind w:firstLine="0"/>
      </w:pPr>
      <w:r>
        <w:t>Таблица 1. От действия на уроке к возможному жизненному переносу</w:t>
      </w:r>
    </w:p>
    <w:tbl>
      <w:tblPr>
        <w:tblW w:type="auto" w:w="0"/>
        <w:jc w:val="center"/>
        <w:tblLayout w:type="fixed"/>
        <w:tblLook w:firstColumn="1" w:firstRow="1" w:lastColumn="0" w:lastRow="0" w:noHBand="0" w:noVBand="1" w:val="04A0"/>
      </w:tblPr>
      <w:tblGrid>
        <w:gridCol w:w="2909"/>
        <w:gridCol w:w="2405"/>
        <w:gridCol w:w="4118"/>
      </w:tblGrid>
      <w:tr>
        <w:trPr>
          <w:tblHeader w:val="true"/>
        </w:trPr>
        <w:tc>
          <w:tcPr>
            <w:tcW w:type="dxa" w:w="3273"/>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shd w:fill="E9EDF2"/>
          </w:tcPr>
          <w:p>
            <w:pPr>
              <w:spacing w:after="0" w:line="254" w:lineRule="auto"/>
              <w:ind w:firstLine="0"/>
            </w:pPr>
            <w:r>
              <w:rPr>
                <w:rFonts w:ascii="Times New Roman" w:hAnsi="Times New Roman"/>
                <w:b/>
                <w:sz w:val="18"/>
              </w:rPr>
              <w:t>Действие на уроке</w:t>
            </w:r>
          </w:p>
        </w:tc>
        <w:tc>
          <w:tcPr>
            <w:tcW w:type="dxa" w:w="3273"/>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shd w:fill="E9EDF2"/>
          </w:tcPr>
          <w:p>
            <w:pPr>
              <w:spacing w:after="0" w:line="254" w:lineRule="auto"/>
              <w:ind w:firstLine="0"/>
            </w:pPr>
            <w:r>
              <w:rPr>
                <w:rFonts w:ascii="Times New Roman" w:hAnsi="Times New Roman"/>
                <w:b/>
                <w:sz w:val="18"/>
              </w:rPr>
              <w:t>Формируемая компетенция</w:t>
            </w:r>
          </w:p>
        </w:tc>
        <w:tc>
          <w:tcPr>
            <w:tcW w:type="dxa" w:w="3273"/>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shd w:fill="E9EDF2"/>
          </w:tcPr>
          <w:p>
            <w:pPr>
              <w:spacing w:after="0" w:line="254" w:lineRule="auto"/>
              <w:ind w:firstLine="0"/>
            </w:pPr>
            <w:r>
              <w:rPr>
                <w:rFonts w:ascii="Times New Roman" w:hAnsi="Times New Roman"/>
                <w:b/>
                <w:sz w:val="18"/>
              </w:rPr>
              <w:t>Возможный жизненный перенос</w:t>
            </w:r>
          </w:p>
        </w:tc>
      </w:tr>
      <w:tr>
        <w:tc>
          <w:tcPr>
            <w:tcW w:type="dxa" w:w="2909"/>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tcPr>
          <w:p>
            <w:pPr>
              <w:spacing w:after="0" w:line="254" w:lineRule="auto"/>
              <w:ind w:firstLine="0"/>
            </w:pPr>
            <w:r>
              <w:rPr>
                <w:rFonts w:ascii="Times New Roman" w:hAnsi="Times New Roman"/>
                <w:b w:val="0"/>
                <w:sz w:val="18"/>
              </w:rPr>
              <w:t>Анализ мотивов героя</w:t>
            </w:r>
          </w:p>
        </w:tc>
        <w:tc>
          <w:tcPr>
            <w:tcW w:type="dxa" w:w="2405"/>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tcPr>
          <w:p>
            <w:pPr>
              <w:spacing w:after="0" w:line="254" w:lineRule="auto"/>
              <w:ind w:firstLine="0"/>
            </w:pPr>
            <w:r>
              <w:rPr>
                <w:rFonts w:ascii="Times New Roman" w:hAnsi="Times New Roman"/>
                <w:b w:val="0"/>
                <w:sz w:val="18"/>
              </w:rPr>
              <w:t>Социальная интерпретация</w:t>
            </w:r>
          </w:p>
        </w:tc>
        <w:tc>
          <w:tcPr>
            <w:tcW w:type="dxa" w:w="4118"/>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tcPr>
          <w:p>
            <w:pPr>
              <w:spacing w:after="0" w:line="254" w:lineRule="auto"/>
              <w:ind w:firstLine="0"/>
            </w:pPr>
            <w:r>
              <w:rPr>
                <w:rFonts w:ascii="Times New Roman" w:hAnsi="Times New Roman"/>
                <w:b w:val="0"/>
                <w:sz w:val="18"/>
              </w:rPr>
              <w:t>Осторожное понимание мотивов участников реального общения</w:t>
            </w:r>
          </w:p>
        </w:tc>
      </w:tr>
      <w:tr>
        <w:tc>
          <w:tcPr>
            <w:tcW w:type="dxa" w:w="2909"/>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shd w:fill="F8F9FA"/>
          </w:tcPr>
          <w:p>
            <w:pPr>
              <w:spacing w:after="0" w:line="254" w:lineRule="auto"/>
              <w:ind w:firstLine="0"/>
            </w:pPr>
            <w:r>
              <w:rPr>
                <w:rFonts w:ascii="Times New Roman" w:hAnsi="Times New Roman"/>
                <w:b w:val="0"/>
                <w:sz w:val="18"/>
              </w:rPr>
              <w:t>Доказательство позиции цитатой</w:t>
            </w:r>
          </w:p>
        </w:tc>
        <w:tc>
          <w:tcPr>
            <w:tcW w:type="dxa" w:w="2405"/>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shd w:fill="F8F9FA"/>
          </w:tcPr>
          <w:p>
            <w:pPr>
              <w:spacing w:after="0" w:line="254" w:lineRule="auto"/>
              <w:ind w:firstLine="0"/>
            </w:pPr>
            <w:r>
              <w:rPr>
                <w:rFonts w:ascii="Times New Roman" w:hAnsi="Times New Roman"/>
                <w:b w:val="0"/>
                <w:sz w:val="18"/>
              </w:rPr>
              <w:t>Аргументация</w:t>
            </w:r>
          </w:p>
        </w:tc>
        <w:tc>
          <w:tcPr>
            <w:tcW w:type="dxa" w:w="4118"/>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shd w:fill="F8F9FA"/>
          </w:tcPr>
          <w:p>
            <w:pPr>
              <w:spacing w:after="0" w:line="254" w:lineRule="auto"/>
              <w:ind w:firstLine="0"/>
            </w:pPr>
            <w:r>
              <w:rPr>
                <w:rFonts w:ascii="Times New Roman" w:hAnsi="Times New Roman"/>
                <w:b w:val="0"/>
                <w:sz w:val="18"/>
              </w:rPr>
              <w:t>Умение подкреплять утверждения фактами</w:t>
            </w:r>
          </w:p>
        </w:tc>
      </w:tr>
      <w:tr>
        <w:tc>
          <w:tcPr>
            <w:tcW w:type="dxa" w:w="2909"/>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tcPr>
          <w:p>
            <w:pPr>
              <w:spacing w:after="0" w:line="254" w:lineRule="auto"/>
              <w:ind w:firstLine="0"/>
            </w:pPr>
            <w:r>
              <w:rPr>
                <w:rFonts w:ascii="Times New Roman" w:hAnsi="Times New Roman"/>
                <w:b w:val="0"/>
                <w:sz w:val="18"/>
              </w:rPr>
              <w:t>Сопоставление разных прочтений</w:t>
            </w:r>
          </w:p>
        </w:tc>
        <w:tc>
          <w:tcPr>
            <w:tcW w:type="dxa" w:w="2405"/>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tcPr>
          <w:p>
            <w:pPr>
              <w:spacing w:after="0" w:line="254" w:lineRule="auto"/>
              <w:ind w:firstLine="0"/>
            </w:pPr>
            <w:r>
              <w:rPr>
                <w:rFonts w:ascii="Times New Roman" w:hAnsi="Times New Roman"/>
                <w:b w:val="0"/>
                <w:sz w:val="18"/>
              </w:rPr>
              <w:t>Работа с неоднозначностью</w:t>
            </w:r>
          </w:p>
        </w:tc>
        <w:tc>
          <w:tcPr>
            <w:tcW w:type="dxa" w:w="4118"/>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tcPr>
          <w:p>
            <w:pPr>
              <w:spacing w:after="0" w:line="254" w:lineRule="auto"/>
              <w:ind w:firstLine="0"/>
            </w:pPr>
            <w:r>
              <w:rPr>
                <w:rFonts w:ascii="Times New Roman" w:hAnsi="Times New Roman"/>
                <w:b w:val="0"/>
                <w:sz w:val="18"/>
              </w:rPr>
              <w:t>Рассмотрение нескольких объяснений без поспешного вывода</w:t>
            </w:r>
          </w:p>
        </w:tc>
      </w:tr>
      <w:tr>
        <w:tc>
          <w:tcPr>
            <w:tcW w:type="dxa" w:w="2909"/>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shd w:fill="F8F9FA"/>
          </w:tcPr>
          <w:p>
            <w:pPr>
              <w:spacing w:after="0" w:line="254" w:lineRule="auto"/>
              <w:ind w:firstLine="0"/>
            </w:pPr>
            <w:r>
              <w:rPr>
                <w:rFonts w:ascii="Times New Roman" w:hAnsi="Times New Roman"/>
                <w:b w:val="0"/>
                <w:sz w:val="18"/>
              </w:rPr>
              <w:t>Разбор речи ненадёжного рассказчика</w:t>
            </w:r>
          </w:p>
        </w:tc>
        <w:tc>
          <w:tcPr>
            <w:tcW w:type="dxa" w:w="2405"/>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shd w:fill="F8F9FA"/>
          </w:tcPr>
          <w:p>
            <w:pPr>
              <w:spacing w:after="0" w:line="254" w:lineRule="auto"/>
              <w:ind w:firstLine="0"/>
            </w:pPr>
            <w:r>
              <w:rPr>
                <w:rFonts w:ascii="Times New Roman" w:hAnsi="Times New Roman"/>
                <w:b w:val="0"/>
                <w:sz w:val="18"/>
              </w:rPr>
              <w:t>Внимание к позиции источника</w:t>
            </w:r>
          </w:p>
        </w:tc>
        <w:tc>
          <w:tcPr>
            <w:tcW w:type="dxa" w:w="4118"/>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shd w:fill="F8F9FA"/>
          </w:tcPr>
          <w:p>
            <w:pPr>
              <w:spacing w:after="0" w:line="254" w:lineRule="auto"/>
              <w:ind w:firstLine="0"/>
            </w:pPr>
            <w:r>
              <w:rPr>
                <w:rFonts w:ascii="Times New Roman" w:hAnsi="Times New Roman"/>
                <w:b w:val="0"/>
                <w:sz w:val="18"/>
              </w:rPr>
              <w:t>Проверка того, что сообщено, скрыто и оценено автором сообщения</w:t>
            </w:r>
          </w:p>
        </w:tc>
      </w:tr>
      <w:tr>
        <w:tc>
          <w:tcPr>
            <w:tcW w:type="dxa" w:w="2909"/>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tcPr>
          <w:p>
            <w:pPr>
              <w:spacing w:after="0" w:line="254" w:lineRule="auto"/>
              <w:ind w:firstLine="0"/>
            </w:pPr>
            <w:r>
              <w:rPr>
                <w:rFonts w:ascii="Times New Roman" w:hAnsi="Times New Roman"/>
                <w:b w:val="0"/>
                <w:sz w:val="18"/>
              </w:rPr>
              <w:t>Пересказ события от лица другого героя</w:t>
            </w:r>
          </w:p>
        </w:tc>
        <w:tc>
          <w:tcPr>
            <w:tcW w:type="dxa" w:w="2405"/>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tcPr>
          <w:p>
            <w:pPr>
              <w:spacing w:after="0" w:line="254" w:lineRule="auto"/>
              <w:ind w:firstLine="0"/>
            </w:pPr>
            <w:r>
              <w:rPr>
                <w:rFonts w:ascii="Times New Roman" w:hAnsi="Times New Roman"/>
                <w:b w:val="0"/>
                <w:sz w:val="18"/>
              </w:rPr>
              <w:t>Смена перспективы</w:t>
            </w:r>
          </w:p>
        </w:tc>
        <w:tc>
          <w:tcPr>
            <w:tcW w:type="dxa" w:w="4118"/>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tcPr>
          <w:p>
            <w:pPr>
              <w:spacing w:after="0" w:line="254" w:lineRule="auto"/>
              <w:ind w:firstLine="0"/>
            </w:pPr>
            <w:r>
              <w:rPr>
                <w:rFonts w:ascii="Times New Roman" w:hAnsi="Times New Roman"/>
                <w:b w:val="0"/>
                <w:sz w:val="18"/>
              </w:rPr>
              <w:t>Уточнение позиции другой стороны в споре</w:t>
            </w:r>
          </w:p>
        </w:tc>
      </w:tr>
      <w:tr>
        <w:tc>
          <w:tcPr>
            <w:tcW w:type="dxa" w:w="2909"/>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shd w:fill="F8F9FA"/>
          </w:tcPr>
          <w:p>
            <w:pPr>
              <w:spacing w:after="0" w:line="254" w:lineRule="auto"/>
              <w:ind w:firstLine="0"/>
            </w:pPr>
            <w:r>
              <w:rPr>
                <w:rFonts w:ascii="Times New Roman" w:hAnsi="Times New Roman"/>
                <w:b w:val="0"/>
                <w:sz w:val="18"/>
              </w:rPr>
              <w:t>Обсуждение поступка в контексте эпохи</w:t>
            </w:r>
          </w:p>
        </w:tc>
        <w:tc>
          <w:tcPr>
            <w:tcW w:type="dxa" w:w="2405"/>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shd w:fill="F8F9FA"/>
          </w:tcPr>
          <w:p>
            <w:pPr>
              <w:spacing w:after="0" w:line="254" w:lineRule="auto"/>
              <w:ind w:firstLine="0"/>
            </w:pPr>
            <w:r>
              <w:rPr>
                <w:rFonts w:ascii="Times New Roman" w:hAnsi="Times New Roman"/>
                <w:b w:val="0"/>
                <w:sz w:val="18"/>
              </w:rPr>
              <w:t>Историческое понимание</w:t>
            </w:r>
          </w:p>
        </w:tc>
        <w:tc>
          <w:tcPr>
            <w:tcW w:type="dxa" w:w="4118"/>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shd w:fill="F8F9FA"/>
          </w:tcPr>
          <w:p>
            <w:pPr>
              <w:spacing w:after="0" w:line="254" w:lineRule="auto"/>
              <w:ind w:firstLine="0"/>
            </w:pPr>
            <w:r>
              <w:rPr>
                <w:rFonts w:ascii="Times New Roman" w:hAnsi="Times New Roman"/>
                <w:b w:val="0"/>
                <w:sz w:val="18"/>
              </w:rPr>
              <w:t>Учёт обстоятельств и культурных различий при оценке поведения</w:t>
            </w:r>
          </w:p>
        </w:tc>
      </w:tr>
      <w:tr>
        <w:tc>
          <w:tcPr>
            <w:tcW w:type="dxa" w:w="2909"/>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tcPr>
          <w:p>
            <w:pPr>
              <w:spacing w:after="0" w:line="254" w:lineRule="auto"/>
              <w:ind w:firstLine="0"/>
            </w:pPr>
            <w:r>
              <w:rPr>
                <w:rFonts w:ascii="Times New Roman" w:hAnsi="Times New Roman"/>
                <w:b w:val="0"/>
                <w:sz w:val="18"/>
              </w:rPr>
              <w:t>Дискуссия и ответ на возражение</w:t>
            </w:r>
          </w:p>
        </w:tc>
        <w:tc>
          <w:tcPr>
            <w:tcW w:type="dxa" w:w="2405"/>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tcPr>
          <w:p>
            <w:pPr>
              <w:spacing w:after="0" w:line="254" w:lineRule="auto"/>
              <w:ind w:firstLine="0"/>
            </w:pPr>
            <w:r>
              <w:rPr>
                <w:rFonts w:ascii="Times New Roman" w:hAnsi="Times New Roman"/>
                <w:b w:val="0"/>
                <w:sz w:val="18"/>
              </w:rPr>
              <w:t>Коммуникативная компетентность</w:t>
            </w:r>
          </w:p>
        </w:tc>
        <w:tc>
          <w:tcPr>
            <w:tcW w:type="dxa" w:w="4118"/>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tcPr>
          <w:p>
            <w:pPr>
              <w:spacing w:after="0" w:line="254" w:lineRule="auto"/>
              <w:ind w:firstLine="0"/>
            </w:pPr>
            <w:r>
              <w:rPr>
                <w:rFonts w:ascii="Times New Roman" w:hAnsi="Times New Roman"/>
                <w:b w:val="0"/>
                <w:sz w:val="18"/>
              </w:rPr>
              <w:t>Ясное изложение мысли и уважительное обсуждение разногласий</w:t>
            </w:r>
          </w:p>
        </w:tc>
      </w:tr>
    </w:tbl>
    <w:p>
      <w:r>
        <w:t>Таблица помогает сформулировать для урока вопрос о переносе: «Какую операцию мы только что выполнили и где она могла бы понадобиться снова?» При этом следует различать возможность применения умения и утверждение о том, что ученик уже успешно применяет его вне школы. Для второго необходимы наблюдение и задания с новым материалом.</w:t>
      </w:r>
    </w:p>
    <w:p>
      <w:pPr>
        <w:pStyle w:val="Heading1"/>
      </w:pPr>
      <w:r>
        <w:t>От школьного предмета к профессиональной жизни</w:t>
      </w:r>
    </w:p>
    <w:p>
      <w:r>
        <w:t>Часто школьный предмет оценивается через прямую профессиональную перспективу: «Мне это пригодится, только если я стану филологом или учителем литературы». Такой подход слишком узко определяет образовательный результат. Большинство взрослых людей не выполняют литературоведческий анализ в профессиональной деятельности. Однако почти во всех сферах человек сталкивается с текстом и коммуникацией.</w:t>
      </w:r>
    </w:p>
    <w:p>
      <w:r>
        <w:t>Предпринимателю необходимо понимать реакцию клиента и ясно формулировать предложение. Руководителю — объяснять решение и учитывать перспективы участников взаимодействия. Врачу — понятно сообщать сложную информацию пациенту. Юристу — анализировать формулировки и аргументировать. Специалисту технической сферы — описывать результаты работы и участвовать в обсуждении проекта. Любой соискатель сталкивается с ситуацией самопрезентации.</w:t>
      </w:r>
    </w:p>
    <w:p>
      <w:r>
        <w:t>Во всех перечисленных случаях литература не предоставляет конкретной профессиональной инструкции. Её возможный вклад связан с речевой точностью, умением видеть несколько позиций, интерпретировать сообщение, аргументировать вывод и учитывать адресата. Человеку может никогда не понадобиться профессионально анализировать образ Базарова, но способность понять логику позиции, с которой он не согласен, может понадобиться неоднократно. Он может не писать сочинений после школы, но будет постоянно формулировать мысли в условиях, когда от ясности речи зависит результат общения.</w:t>
      </w:r>
    </w:p>
    <w:p>
      <w:pPr>
        <w:pStyle w:val="Heading1"/>
      </w:pPr>
      <w:r>
        <w:t>Ограничения и научная осторожность</w:t>
      </w:r>
    </w:p>
    <w:p>
      <w:r>
        <w:t>На основании имеющихся исследований нельзя утверждать, что человек, читающий художественную литературу, обязательно обладает более высокими нравственными качествами или лучшими социальными навыками. Во-первых, многие исследования имеют корреляционный характер: невозможно полностью исключить вероятность того, что люди с определёнными вербальными или социальными способностями изначально чаще выбирают чтение. Во-вторых, экспериментально выявляемые эффекты чтения в среднем невелики [4, 6]. В-третьих, результат зависит от характеристик текста, читателя, мотивации и характера последующей интеллектуальной работы.</w:t>
      </w:r>
    </w:p>
    <w:p>
      <w:r>
        <w:t>Именно поэтому корректнее говорить о потенциале литературного образования, который реализуется при определённых педагогических условиях. Авторская схема переноса нуждается в эмпирической проверке: например, в сопоставлении ответов учеников на литературные и новые, нехудожественные задачи до и после серии занятий. Такая проверка поможет отделить убедительную методическую идею от измеренного образовательного результата.</w:t>
      </w:r>
    </w:p>
    <w:p>
      <w:pPr>
        <w:pStyle w:val="Heading1"/>
      </w:pPr>
      <w:r>
        <w:t>Заключение</w:t>
      </w:r>
    </w:p>
    <w:p>
      <w:r>
        <w:t>Традиционный ответ на вопрос о пользе литературы нередко ограничивается расширением словарного запаса, развитием грамотности и знакомством с культурным наследием. Эти функции значимы, однако они не исчерпывают потенциал литературного образования. Литература расширяет речевой репертуар, предоставляет модели социальных взаимодействий и материал для осмысления мотивов другого человека, позволяет наблюдать нравственный выбор и последствия решений в безопасном символическом пространстве, приучает работать с неоднозначностью, помогает соотносить человеческую жизнь с историко-культурным контекстом и предоставляет язык для личностной рефлексии.</w:t>
      </w:r>
    </w:p>
    <w:p>
      <w:r>
        <w:t>Однако подобные результаты не следует считать автоматическим следствием самого чтения. Особая роль школьного литературного образования состоит в организации осмысленного взаимодействия между читателем и текстом. Постановка проблемного вопроса, столкновение нескольких интерпретаций, поиск текстового доказательства, обсуждение мотивов персонажа и последующая рефлексия позволяют превратить содержание произведения в интеллектуальный опыт обучающегося.</w:t>
      </w:r>
    </w:p>
    <w:p>
      <w:r>
        <w:t>Предлагаемое понятие «жизненный перенос литературных компетенций» позволяет рассматривать результат литературного образования как способность использовать сформированные при чтении и интерпретации способы мышления за пределами учебной ситуации. Тогда вопрос «зачем человеку литература, если он не собирается становиться филологом?» получает более полный ответ: она может помогать точнее говорить, глубже читать, внимательнее относиться к чужой позиции, критичнее воспринимать текст и осознаннее осмысливать собственный опыт.</w:t>
      </w:r>
    </w:p>
    <w:p>
      <w:pPr>
        <w:pStyle w:val="Heading1"/>
      </w:pPr>
      <w:r>
        <w:t>Список литературы</w:t>
      </w:r>
    </w:p>
    <w:p>
      <w:pPr>
        <w:spacing w:line="252" w:lineRule="auto" w:after="60"/>
        <w:ind w:left="317" w:hanging="317"/>
      </w:pPr>
      <w:r>
        <w:rPr>
          <w:sz w:val="18"/>
        </w:rPr>
        <w:t>1. Федеральная рабочая программа среднего общего образования. Литература. 10–11 классы (базовый уровень). М., 2025. URL: https://edsoo.ru/wp-content/uploads/2025/07/2025_soo_frp_literatura_10_11_baz.pdf (дата обращения: 21.09.2026).</w:t>
      </w:r>
    </w:p>
    <w:p>
      <w:pPr>
        <w:spacing w:line="252" w:lineRule="auto" w:after="60"/>
        <w:ind w:left="317" w:hanging="317"/>
      </w:pPr>
      <w:r>
        <w:rPr>
          <w:sz w:val="18"/>
        </w:rPr>
        <w:t>2. Stanovich K. E., Cunningham A. E. Studying the consequences of literacy within a literate society: The cognitive correlates of print exposure // Memory &amp; Cognition. 1992. Vol. 20, no. 1. P. 51–68. DOI: 10.3758/BF03208254.</w:t>
      </w:r>
    </w:p>
    <w:p>
      <w:pPr>
        <w:spacing w:line="252" w:lineRule="auto" w:after="60"/>
        <w:ind w:left="317" w:hanging="317"/>
      </w:pPr>
      <w:r>
        <w:rPr>
          <w:sz w:val="18"/>
        </w:rPr>
        <w:t>3. Mol S. E., Bus A. G. To read or not to read: A meta-analysis of print exposure from infancy to early adulthood // Psychological Bulletin. 2011. Vol. 137, no. 2. P. 267–296. DOI: 10.1037/a0021890.</w:t>
      </w:r>
    </w:p>
    <w:p>
      <w:pPr>
        <w:spacing w:line="252" w:lineRule="auto" w:after="60"/>
        <w:ind w:left="317" w:hanging="317"/>
      </w:pPr>
      <w:r>
        <w:rPr>
          <w:sz w:val="18"/>
        </w:rPr>
        <w:t>4. Wimmer L., Currie G., Friend S., Wittwer J., Ferguson H. J. Cognitive effects and correlates of reading fiction: Two preregistered multilevel meta-analyses // Journal of Experimental Psychology: General. 2024. Vol. 153, no. 6. P. 1464–1488. DOI: 10.1037/xge0001583.</w:t>
      </w:r>
    </w:p>
    <w:p>
      <w:pPr>
        <w:spacing w:line="252" w:lineRule="auto" w:after="60"/>
        <w:ind w:left="317" w:hanging="317"/>
      </w:pPr>
      <w:r>
        <w:rPr>
          <w:sz w:val="18"/>
        </w:rPr>
        <w:t>5. Mar R. A., Oatley K. The function of fiction is the abstraction and simulation of social experience // Perspectives on Psychological Science. 2008. Vol. 3, no. 3. P. 173–192. DOI: 10.1111/j.1745-6924.2008.00073.x.</w:t>
      </w:r>
    </w:p>
    <w:p>
      <w:pPr>
        <w:spacing w:line="252" w:lineRule="auto" w:after="60"/>
        <w:ind w:left="317" w:hanging="317"/>
      </w:pPr>
      <w:r>
        <w:rPr>
          <w:sz w:val="18"/>
        </w:rPr>
        <w:t>6. Dodell-Feder D., Tamir D. I. Fiction reading has a small positive impact on social cognition: A meta-analysis // Journal of Experimental Psychology: General. 2018. Vol. 147, no. 11. P. 1713–1727. DOI: 10.1037/xge0000395.</w:t>
      </w:r>
    </w:p>
    <w:p>
      <w:pPr>
        <w:spacing w:line="252" w:lineRule="auto" w:after="60"/>
        <w:ind w:left="317" w:hanging="317"/>
      </w:pPr>
      <w:r>
        <w:rPr>
          <w:sz w:val="18"/>
        </w:rPr>
        <w:t>7. Panero M. E., Weisberg D. S., Black J. et al. Does reading a single passage of literary fiction really improve theory of mind? An attempt at replication // Journal of Personality and Social Psychology. 2016. Vol. 111, no. 5. P. e46–e54. DOI: 10.1037/pspa0000064.</w:t>
      </w:r>
    </w:p>
    <w:p>
      <w:pPr>
        <w:spacing w:line="252" w:lineRule="auto" w:after="60"/>
        <w:ind w:left="317" w:hanging="317"/>
      </w:pPr>
      <w:r>
        <w:rPr>
          <w:sz w:val="18"/>
        </w:rPr>
        <w:t>8. Gasser L., Dammert Y., Murphy P. K. How do children socially learn from narrative fiction: Getting the lesson, simulating social worlds, or dialogic inquiry? // Educational Psychology Review. 2022. Vol. 34, no. 3. P. 1445–1475. DOI: 10.1007/s10648-022-09667-4.</w:t>
      </w:r>
    </w:p>
    <w:p>
      <w:pPr>
        <w:spacing w:line="252" w:lineRule="auto" w:after="60"/>
        <w:ind w:left="317" w:hanging="317"/>
      </w:pPr>
      <w:r>
        <w:rPr>
          <w:sz w:val="18"/>
        </w:rPr>
        <w:t>9. Декатова К. И., Каунова Е. В. Формирование у школьников умений, составляющих читательскую грамотность, как способ защиты от манипулятивного воздействия // Педагогика. Вопросы теории и практики. 2023. Т. 8, вып. 6. С. 583–588. DOI: 10.30853/ped20230102.</w:t>
      </w:r>
    </w:p>
    <w:p>
      <w:pPr>
        <w:spacing w:line="252" w:lineRule="auto" w:after="60"/>
        <w:ind w:left="317" w:hanging="317"/>
      </w:pPr>
      <w:r>
        <w:rPr>
          <w:sz w:val="18"/>
        </w:rPr>
        <w:t>10. Rezende J. F., Shigaeff N. The effects of reading and watching fiction on the development of social cognition: A systematic review // Dementia &amp; Neuropsychologia. 2023. Vol. 17. Art. e20230066. DOI: 10.1590/1980-5764-DN-2023-0066.</w:t>
      </w:r>
    </w:p>
    <w:p>
      <w:pPr>
        <w:spacing w:line="252" w:lineRule="auto" w:after="60"/>
        <w:ind w:left="317" w:hanging="317"/>
      </w:pPr>
      <w:r>
        <w:rPr>
          <w:sz w:val="18"/>
        </w:rPr>
        <w:t>11. Садыкова М. Ю. Коммуникационные технологии как средство формирования коммуникативной компетентности учащихся в процессе школьного литературного образования // Известия Волгоградского государственного педагогического университета. 2013. URL: https://cyberleninka.ru/article/n/kommunikatsionnye-tehnologii-kak-sredstvo-formirovaniya-kommunikativnoy-kompetentnosti-uchaschihsya-v-protsesse-shkolnogo (дата обращения: 21.09.2026).</w:t>
      </w:r>
    </w:p>
    <w:sectPr w:rsidR="00FC693F" w:rsidRPr="0006063C" w:rsidSect="00034616">
      <w:footerReference w:type="default" r:id="rId9"/>
      <w:pgSz w:w="12240" w:h="15840"/>
      <w:pgMar w:top="1123" w:right="1138" w:bottom="1037" w:left="1282" w:header="720"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00"/>
      <w:ind w:firstLine="389"/>
    </w:pPr>
    <w:rPr>
      <w:rFonts w:ascii="Times New Roman" w:hAnsi="Times New Roman"/>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00"/>
      <w:ind w:firstLine="0"/>
      <w:outlineLvl w:val="0"/>
    </w:pPr>
    <w:rPr>
      <w:rFonts w:asciiTheme="majorHAnsi" w:eastAsiaTheme="majorEastAsia" w:hAnsiTheme="majorHAnsi" w:cstheme="majorBidi" w:ascii="Times New Roman" w:hAnsi="Times New Roman"/>
      <w:b/>
      <w:bCs/>
      <w:color w:val="000000"/>
      <w:sz w:val="23"/>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ind w:firstLine="0"/>
      <w:contextualSpacing/>
      <w:pBdr>
        <w:bottom w:val="nil"/>
      </w:pBdr>
    </w:pPr>
    <w:rPr>
      <w:rFonts w:asciiTheme="majorHAnsi" w:eastAsiaTheme="majorEastAsia" w:hAnsiTheme="majorHAnsi" w:cstheme="majorBidi" w:ascii="Times New Roman" w:hAnsi="Times New Roman"/>
      <w:b/>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Зачем человеку литература? Жизненный перенос литературных компетенций как результат школьного литературного образования</dc:title>
  <dc:subject/>
  <dc:creator>Татьяна Бездомникова</dc:creator>
  <cp:keywords/>
  <dc:description>generated by python-docx</dc:description>
  <cp:lastModifiedBy/>
  <cp:revision>1</cp:revision>
  <dcterms:created xsi:type="dcterms:W3CDTF">2013-12-23T23:15:00Z</dcterms:created>
  <dcterms:modified xsi:type="dcterms:W3CDTF">2013-12-23T23:15:00Z</dcterms:modified>
  <cp:category/>
</cp:coreProperties>
</file>